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4"/>
        <w:gridCol w:w="8135"/>
      </w:tblGrid>
      <w:tr w:rsidR="00F75E28" w:rsidRPr="003225D6" w14:paraId="7B2E956B" w14:textId="77777777" w:rsidTr="00F75E28">
        <w:trPr>
          <w:trHeight w:val="300"/>
        </w:trPr>
        <w:tc>
          <w:tcPr>
            <w:tcW w:w="11199" w:type="dxa"/>
            <w:gridSpan w:val="2"/>
            <w:noWrap/>
          </w:tcPr>
          <w:p w14:paraId="7B2E955D" w14:textId="77777777" w:rsidR="00F75E28" w:rsidRPr="00F75E28" w:rsidRDefault="00F75E28" w:rsidP="00E455E3">
            <w:pPr>
              <w:pStyle w:val="NormalWeb"/>
              <w:spacing w:before="0" w:beforeAutospacing="0" w:after="0" w:afterAutospacing="0"/>
              <w:rPr>
                <w:color w:val="FF0000"/>
                <w:u w:val="single"/>
              </w:rPr>
            </w:pPr>
          </w:p>
          <w:p w14:paraId="7B2E955E"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Some members of society are recognised as needing protection, for example children and vulnerable adults. If a person is identified as being at risk from harm we are expected as professionals to do what we can to protect them. In addition we are bound by certain specific laws that exist to protect individuals. This is called “Safeguarding”. </w:t>
            </w:r>
          </w:p>
          <w:p w14:paraId="7B2E955F" w14:textId="77777777" w:rsidR="00F75E28" w:rsidRPr="00FD06BF" w:rsidRDefault="00F75E28" w:rsidP="00E455E3">
            <w:pPr>
              <w:spacing w:after="0" w:line="240" w:lineRule="auto"/>
              <w:rPr>
                <w:rFonts w:ascii="Arial" w:hAnsi="Arial" w:cs="Arial"/>
                <w:sz w:val="24"/>
                <w:szCs w:val="24"/>
              </w:rPr>
            </w:pPr>
          </w:p>
          <w:p w14:paraId="7B2E9560"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Where there is a suspected or actual safeguarding issue we will share information that we hold with other relevant agencies whether or not the individual or their representative agrees. </w:t>
            </w:r>
          </w:p>
          <w:p w14:paraId="7B2E9561" w14:textId="77777777" w:rsidR="00F75E28" w:rsidRPr="00FD06BF" w:rsidRDefault="00F75E28" w:rsidP="00E455E3">
            <w:pPr>
              <w:spacing w:after="0" w:line="240" w:lineRule="auto"/>
              <w:rPr>
                <w:rFonts w:ascii="Arial" w:hAnsi="Arial" w:cs="Arial"/>
                <w:sz w:val="24"/>
                <w:szCs w:val="24"/>
              </w:rPr>
            </w:pPr>
          </w:p>
          <w:p w14:paraId="7B2E9562"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There are three laws that allow us to do this without relying on the individual or their representatives agreement (unconsented processing), these are: </w:t>
            </w:r>
          </w:p>
          <w:p w14:paraId="7B2E9563"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Section 47 of The Children Act 1989 :</w:t>
            </w:r>
            <w:r w:rsidRPr="00FD06BF">
              <w:rPr>
                <w:rFonts w:ascii="Arial" w:hAnsi="Arial" w:cs="Arial"/>
                <w:sz w:val="24"/>
                <w:szCs w:val="24"/>
              </w:rPr>
              <w:br/>
              <w:t>(</w:t>
            </w:r>
            <w:hyperlink r:id="rId7">
              <w:r w:rsidRPr="00FD06BF">
                <w:rPr>
                  <w:rFonts w:ascii="Arial" w:hAnsi="Arial" w:cs="Arial"/>
                  <w:color w:val="0000FF"/>
                  <w:sz w:val="24"/>
                  <w:szCs w:val="24"/>
                  <w:u w:val="single"/>
                </w:rPr>
                <w:t>https://www.legislation.gov.uk/ukpga/1989/41/section/47</w:t>
              </w:r>
            </w:hyperlink>
            <w:r w:rsidRPr="00FD06BF">
              <w:rPr>
                <w:rFonts w:ascii="Arial" w:hAnsi="Arial" w:cs="Arial"/>
                <w:sz w:val="24"/>
                <w:szCs w:val="24"/>
              </w:rPr>
              <w:t xml:space="preserve">), </w:t>
            </w:r>
          </w:p>
          <w:p w14:paraId="7B2E9564"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Section </w:t>
            </w:r>
            <w:r w:rsidRPr="00FD06BF">
              <w:rPr>
                <w:rFonts w:ascii="Arial" w:hAnsi="Arial" w:cs="Arial"/>
                <w:color w:val="000000"/>
                <w:sz w:val="24"/>
                <w:szCs w:val="24"/>
              </w:rPr>
              <w:t xml:space="preserve">29 of Data Protection Act (prevention of crime) </w:t>
            </w:r>
            <w:hyperlink r:id="rId8">
              <w:r w:rsidRPr="00FD06BF">
                <w:rPr>
                  <w:rFonts w:ascii="Arial" w:hAnsi="Arial" w:cs="Arial"/>
                  <w:color w:val="0000FF"/>
                  <w:sz w:val="24"/>
                  <w:szCs w:val="24"/>
                  <w:u w:val="single"/>
                </w:rPr>
                <w:t>https://www.legislation.gov.uk/ukpga/1998/29/section/29</w:t>
              </w:r>
            </w:hyperlink>
            <w:r w:rsidRPr="00FD06BF">
              <w:rPr>
                <w:rFonts w:ascii="Arial" w:hAnsi="Arial" w:cs="Arial"/>
                <w:sz w:val="24"/>
                <w:szCs w:val="24"/>
              </w:rPr>
              <w:t xml:space="preserve"> </w:t>
            </w:r>
          </w:p>
          <w:p w14:paraId="7B2E9565"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and </w:t>
            </w:r>
          </w:p>
          <w:p w14:paraId="7B2E9566"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section 45 of the Care Act 2014 </w:t>
            </w:r>
            <w:hyperlink r:id="rId9">
              <w:r w:rsidRPr="00FD06BF">
                <w:rPr>
                  <w:rFonts w:ascii="Arial" w:hAnsi="Arial" w:cs="Arial"/>
                  <w:color w:val="0000FF"/>
                  <w:sz w:val="24"/>
                  <w:szCs w:val="24"/>
                  <w:u w:val="single"/>
                </w:rPr>
                <w:t>http://www.legislation.gov.uk/ukpga/2014/23/section/45/enacted</w:t>
              </w:r>
            </w:hyperlink>
            <w:r w:rsidRPr="00FD06BF">
              <w:rPr>
                <w:rFonts w:ascii="Arial" w:hAnsi="Arial" w:cs="Arial"/>
                <w:sz w:val="24"/>
                <w:szCs w:val="24"/>
              </w:rPr>
              <w:t>.</w:t>
            </w:r>
          </w:p>
          <w:p w14:paraId="7B2E9567" w14:textId="77777777" w:rsidR="00F75E28" w:rsidRPr="00FD06BF" w:rsidRDefault="00F75E28" w:rsidP="00E455E3">
            <w:pPr>
              <w:spacing w:after="0" w:line="240" w:lineRule="auto"/>
              <w:rPr>
                <w:rFonts w:ascii="Arial" w:hAnsi="Arial" w:cs="Arial"/>
                <w:sz w:val="24"/>
                <w:szCs w:val="24"/>
              </w:rPr>
            </w:pPr>
          </w:p>
          <w:p w14:paraId="7B2E9568" w14:textId="77777777" w:rsidR="00F75E28" w:rsidRPr="00FD06BF" w:rsidRDefault="00F75E28" w:rsidP="00E455E3">
            <w:pPr>
              <w:spacing w:after="0" w:line="240" w:lineRule="auto"/>
              <w:rPr>
                <w:rFonts w:ascii="Arial" w:hAnsi="Arial" w:cs="Arial"/>
                <w:sz w:val="24"/>
                <w:szCs w:val="24"/>
              </w:rPr>
            </w:pPr>
            <w:r w:rsidRPr="00FD06BF">
              <w:rPr>
                <w:rFonts w:ascii="Arial" w:hAnsi="Arial" w:cs="Arial"/>
                <w:sz w:val="24"/>
                <w:szCs w:val="24"/>
              </w:rPr>
              <w:t xml:space="preserve">In addition there are circumstances when we will seek the agreement (consented processing) of the individual or their representative to share information with local child protection services, the relevant law being; section </w:t>
            </w:r>
            <w:r w:rsidRPr="00FD06BF">
              <w:rPr>
                <w:rFonts w:ascii="Arial" w:hAnsi="Arial" w:cs="Arial"/>
                <w:color w:val="000000"/>
                <w:sz w:val="24"/>
                <w:szCs w:val="24"/>
              </w:rPr>
              <w:t xml:space="preserve">17 Childrens Act 1989 </w:t>
            </w:r>
            <w:hyperlink r:id="rId10">
              <w:r w:rsidRPr="00FD06BF">
                <w:rPr>
                  <w:rFonts w:ascii="Arial" w:hAnsi="Arial" w:cs="Arial"/>
                  <w:color w:val="0000FF"/>
                  <w:sz w:val="24"/>
                  <w:szCs w:val="24"/>
                  <w:u w:val="single"/>
                </w:rPr>
                <w:t>https://www.legislation.gov.uk/ukpga/1989/41/section/17</w:t>
              </w:r>
            </w:hyperlink>
          </w:p>
          <w:p w14:paraId="7B2E9569" w14:textId="77777777" w:rsidR="00F75E28" w:rsidRPr="00FD06BF" w:rsidRDefault="00F75E28" w:rsidP="00E455E3">
            <w:pPr>
              <w:spacing w:after="0" w:line="240" w:lineRule="auto"/>
              <w:rPr>
                <w:rFonts w:ascii="Arial" w:hAnsi="Arial" w:cs="Arial"/>
                <w:sz w:val="24"/>
                <w:szCs w:val="24"/>
              </w:rPr>
            </w:pPr>
          </w:p>
          <w:p w14:paraId="7B2E956A" w14:textId="77777777" w:rsidR="00F75E28" w:rsidRPr="00F75E28" w:rsidRDefault="00F75E28" w:rsidP="00E455E3">
            <w:pPr>
              <w:spacing w:after="0" w:line="240" w:lineRule="auto"/>
              <w:rPr>
                <w:rFonts w:ascii="Times New Roman" w:hAnsi="Times New Roman"/>
                <w:color w:val="000000"/>
                <w:sz w:val="24"/>
                <w:szCs w:val="24"/>
                <w:lang w:eastAsia="en-GB"/>
              </w:rPr>
            </w:pPr>
          </w:p>
        </w:tc>
      </w:tr>
      <w:tr w:rsidR="00F75E28" w:rsidRPr="003225D6" w14:paraId="7B2E956F" w14:textId="77777777" w:rsidTr="00F75E28">
        <w:trPr>
          <w:trHeight w:val="300"/>
        </w:trPr>
        <w:tc>
          <w:tcPr>
            <w:tcW w:w="3064" w:type="dxa"/>
            <w:noWrap/>
          </w:tcPr>
          <w:p w14:paraId="7B2E956C" w14:textId="77777777" w:rsidR="00F75E28" w:rsidRPr="00FD06BF" w:rsidRDefault="00F75E28" w:rsidP="00FD06BF">
            <w:pPr>
              <w:spacing w:after="0" w:line="240" w:lineRule="auto"/>
              <w:jc w:val="both"/>
              <w:rPr>
                <w:rFonts w:ascii="Arial" w:hAnsi="Arial" w:cs="Arial"/>
                <w:b/>
                <w:color w:val="000000"/>
                <w:sz w:val="24"/>
                <w:szCs w:val="24"/>
                <w:lang w:eastAsia="en-GB"/>
              </w:rPr>
            </w:pPr>
            <w:r w:rsidRPr="00FD06BF">
              <w:rPr>
                <w:rFonts w:ascii="Arial" w:hAnsi="Arial" w:cs="Arial"/>
                <w:color w:val="000000"/>
                <w:sz w:val="24"/>
                <w:szCs w:val="24"/>
                <w:lang w:eastAsia="en-GB"/>
              </w:rPr>
              <w:t>1</w:t>
            </w:r>
            <w:r w:rsidRPr="00FD06BF">
              <w:rPr>
                <w:rFonts w:ascii="Arial" w:hAnsi="Arial" w:cs="Arial"/>
                <w:b/>
                <w:color w:val="000000"/>
                <w:sz w:val="24"/>
                <w:szCs w:val="24"/>
                <w:lang w:eastAsia="en-GB"/>
              </w:rPr>
              <w:t xml:space="preserve">) Data Controller </w:t>
            </w:r>
            <w:r w:rsidRPr="00FD06BF">
              <w:rPr>
                <w:rFonts w:ascii="Arial" w:hAnsi="Arial" w:cs="Arial"/>
                <w:color w:val="000000"/>
                <w:sz w:val="24"/>
                <w:szCs w:val="24"/>
                <w:lang w:eastAsia="en-GB"/>
              </w:rPr>
              <w:t>contact details</w:t>
            </w:r>
          </w:p>
          <w:p w14:paraId="7B2E956D" w14:textId="77777777" w:rsidR="00F75E28" w:rsidRPr="00FD06BF" w:rsidRDefault="00F75E28" w:rsidP="00FD06BF">
            <w:pPr>
              <w:spacing w:after="0" w:line="240" w:lineRule="auto"/>
              <w:jc w:val="both"/>
              <w:rPr>
                <w:rFonts w:ascii="Arial" w:hAnsi="Arial" w:cs="Arial"/>
                <w:color w:val="000000"/>
                <w:sz w:val="24"/>
                <w:szCs w:val="24"/>
                <w:lang w:eastAsia="en-GB"/>
              </w:rPr>
            </w:pPr>
          </w:p>
        </w:tc>
        <w:tc>
          <w:tcPr>
            <w:tcW w:w="8135" w:type="dxa"/>
            <w:noWrap/>
          </w:tcPr>
          <w:p w14:paraId="7B2E956E" w14:textId="77777777" w:rsidR="00F75E28" w:rsidRPr="00FA1272" w:rsidRDefault="00FD06BF" w:rsidP="00FD06BF">
            <w:pPr>
              <w:spacing w:after="0" w:line="240" w:lineRule="auto"/>
              <w:jc w:val="both"/>
              <w:rPr>
                <w:rFonts w:ascii="Arial" w:hAnsi="Arial" w:cs="Arial"/>
                <w:sz w:val="24"/>
                <w:szCs w:val="24"/>
                <w:lang w:eastAsia="en-GB"/>
              </w:rPr>
            </w:pPr>
            <w:r w:rsidRPr="00FA1272">
              <w:rPr>
                <w:rFonts w:ascii="Arial" w:hAnsi="Arial" w:cs="Arial"/>
                <w:sz w:val="24"/>
                <w:szCs w:val="24"/>
                <w:lang w:eastAsia="en-GB"/>
              </w:rPr>
              <w:t>Farley Road Medical Practice, 53 Farley Road, south Croydon, Surrey, CR2 7NG</w:t>
            </w:r>
          </w:p>
        </w:tc>
      </w:tr>
      <w:tr w:rsidR="00F75E28" w:rsidRPr="003225D6" w14:paraId="7B2E9573" w14:textId="77777777" w:rsidTr="00F75E28">
        <w:trPr>
          <w:trHeight w:val="622"/>
        </w:trPr>
        <w:tc>
          <w:tcPr>
            <w:tcW w:w="3064" w:type="dxa"/>
            <w:noWrap/>
          </w:tcPr>
          <w:p w14:paraId="7B2E9570" w14:textId="77777777" w:rsidR="00F75E28" w:rsidRPr="00FD06BF" w:rsidRDefault="00F75E28" w:rsidP="00FD06BF">
            <w:pPr>
              <w:spacing w:after="0" w:line="240" w:lineRule="auto"/>
              <w:jc w:val="both"/>
              <w:rPr>
                <w:rFonts w:ascii="Arial" w:hAnsi="Arial" w:cs="Arial"/>
                <w:color w:val="000000"/>
                <w:sz w:val="24"/>
                <w:szCs w:val="24"/>
                <w:lang w:eastAsia="en-GB"/>
              </w:rPr>
            </w:pPr>
            <w:r w:rsidRPr="00FD06BF">
              <w:rPr>
                <w:rFonts w:ascii="Arial" w:hAnsi="Arial" w:cs="Arial"/>
                <w:b/>
                <w:color w:val="000000"/>
                <w:sz w:val="24"/>
                <w:szCs w:val="24"/>
                <w:lang w:eastAsia="en-GB"/>
              </w:rPr>
              <w:t xml:space="preserve">2) </w:t>
            </w:r>
            <w:r w:rsidR="00E73934" w:rsidRPr="00FD06BF">
              <w:rPr>
                <w:rFonts w:ascii="Arial" w:hAnsi="Arial" w:cs="Arial"/>
                <w:b/>
                <w:color w:val="000000"/>
                <w:sz w:val="24"/>
                <w:szCs w:val="24"/>
                <w:lang w:eastAsia="en-GB"/>
              </w:rPr>
              <w:t>(Interim)</w:t>
            </w:r>
            <w:r w:rsidRPr="00FD06BF">
              <w:rPr>
                <w:rFonts w:ascii="Arial" w:hAnsi="Arial" w:cs="Arial"/>
                <w:b/>
                <w:color w:val="000000"/>
                <w:sz w:val="24"/>
                <w:szCs w:val="24"/>
                <w:lang w:eastAsia="en-GB"/>
              </w:rPr>
              <w:t xml:space="preserve">Data Protection Officer </w:t>
            </w:r>
            <w:r w:rsidRPr="00FD06BF">
              <w:rPr>
                <w:rFonts w:ascii="Arial" w:hAnsi="Arial" w:cs="Arial"/>
                <w:color w:val="000000"/>
                <w:sz w:val="24"/>
                <w:szCs w:val="24"/>
                <w:lang w:eastAsia="en-GB"/>
              </w:rPr>
              <w:t>contact details</w:t>
            </w:r>
          </w:p>
          <w:p w14:paraId="7B2E9571" w14:textId="77777777" w:rsidR="00F75E28" w:rsidRPr="00FD06BF" w:rsidRDefault="00F75E28" w:rsidP="00FD06BF">
            <w:pPr>
              <w:spacing w:after="0" w:line="240" w:lineRule="auto"/>
              <w:jc w:val="both"/>
              <w:rPr>
                <w:rFonts w:ascii="Arial" w:hAnsi="Arial" w:cs="Arial"/>
                <w:color w:val="000000"/>
                <w:sz w:val="24"/>
                <w:szCs w:val="24"/>
                <w:lang w:eastAsia="en-GB"/>
              </w:rPr>
            </w:pPr>
          </w:p>
        </w:tc>
        <w:tc>
          <w:tcPr>
            <w:tcW w:w="8135" w:type="dxa"/>
            <w:noWrap/>
          </w:tcPr>
          <w:p w14:paraId="7B2E9572" w14:textId="77777777" w:rsidR="00F75E28" w:rsidRPr="00FA1272" w:rsidRDefault="00A823DB" w:rsidP="00A823DB">
            <w:pPr>
              <w:spacing w:after="0" w:line="240" w:lineRule="auto"/>
              <w:rPr>
                <w:rFonts w:ascii="Arial" w:hAnsi="Arial" w:cs="Arial"/>
                <w:sz w:val="24"/>
                <w:szCs w:val="24"/>
                <w:lang w:eastAsia="en-GB"/>
              </w:rPr>
            </w:pPr>
            <w:r w:rsidRPr="00FA1272">
              <w:rPr>
                <w:rFonts w:ascii="Arial" w:hAnsi="Arial" w:cs="Arial"/>
                <w:sz w:val="24"/>
                <w:szCs w:val="24"/>
                <w:lang w:eastAsia="en-GB"/>
              </w:rPr>
              <w:t xml:space="preserve">Umar Sabat    </w:t>
            </w:r>
            <w:r w:rsidRPr="00FA1272">
              <w:rPr>
                <w:rFonts w:ascii="Arial" w:hAnsi="Arial" w:cs="Arial"/>
                <w:sz w:val="24"/>
                <w:szCs w:val="24"/>
                <w:lang w:eastAsia="en-GB"/>
              </w:rPr>
              <w:br/>
              <w:t>IG Health Ltd</w:t>
            </w:r>
          </w:p>
        </w:tc>
      </w:tr>
      <w:tr w:rsidR="00F75E28" w:rsidRPr="003225D6" w14:paraId="7B2E9576" w14:textId="77777777" w:rsidTr="00F75E28">
        <w:trPr>
          <w:trHeight w:val="491"/>
        </w:trPr>
        <w:tc>
          <w:tcPr>
            <w:tcW w:w="3064" w:type="dxa"/>
            <w:noWrap/>
          </w:tcPr>
          <w:p w14:paraId="7B2E9574" w14:textId="77777777" w:rsidR="00F75E28" w:rsidRPr="00FD06BF" w:rsidRDefault="00F75E28" w:rsidP="00FD06BF">
            <w:pPr>
              <w:spacing w:after="0" w:line="240" w:lineRule="auto"/>
              <w:jc w:val="both"/>
              <w:rPr>
                <w:rFonts w:ascii="Arial" w:hAnsi="Arial" w:cs="Arial"/>
                <w:color w:val="000000"/>
                <w:sz w:val="24"/>
                <w:szCs w:val="24"/>
                <w:lang w:eastAsia="en-GB"/>
              </w:rPr>
            </w:pPr>
            <w:r w:rsidRPr="00FD06BF">
              <w:rPr>
                <w:rFonts w:ascii="Arial" w:hAnsi="Arial" w:cs="Arial"/>
                <w:color w:val="000000"/>
                <w:sz w:val="24"/>
                <w:szCs w:val="24"/>
                <w:lang w:eastAsia="en-GB"/>
              </w:rPr>
              <w:t xml:space="preserve">3) </w:t>
            </w:r>
            <w:r w:rsidRPr="00FD06BF">
              <w:rPr>
                <w:rFonts w:ascii="Arial" w:hAnsi="Arial" w:cs="Arial"/>
                <w:b/>
                <w:color w:val="000000"/>
                <w:sz w:val="24"/>
                <w:szCs w:val="24"/>
                <w:lang w:eastAsia="en-GB"/>
              </w:rPr>
              <w:t>Purpose</w:t>
            </w:r>
            <w:r w:rsidRPr="00FD06BF">
              <w:rPr>
                <w:rFonts w:ascii="Arial" w:hAnsi="Arial" w:cs="Arial"/>
                <w:color w:val="000000"/>
                <w:sz w:val="24"/>
                <w:szCs w:val="24"/>
                <w:lang w:eastAsia="en-GB"/>
              </w:rPr>
              <w:t xml:space="preserve"> of the processing</w:t>
            </w:r>
          </w:p>
        </w:tc>
        <w:tc>
          <w:tcPr>
            <w:tcW w:w="8135" w:type="dxa"/>
            <w:noWrap/>
          </w:tcPr>
          <w:p w14:paraId="7B2E9575" w14:textId="77777777" w:rsidR="00F75E28" w:rsidRPr="00FD06BF" w:rsidRDefault="00F75E28" w:rsidP="00FD06BF">
            <w:pPr>
              <w:jc w:val="both"/>
              <w:rPr>
                <w:rFonts w:ascii="Arial" w:hAnsi="Arial" w:cs="Arial"/>
                <w:color w:val="000000"/>
                <w:sz w:val="24"/>
                <w:szCs w:val="24"/>
                <w:lang w:eastAsia="en-GB"/>
              </w:rPr>
            </w:pPr>
            <w:r w:rsidRPr="00FD06BF">
              <w:rPr>
                <w:rFonts w:ascii="Arial" w:hAnsi="Arial" w:cs="Arial"/>
                <w:color w:val="000000"/>
                <w:sz w:val="24"/>
                <w:szCs w:val="24"/>
                <w:lang w:eastAsia="en-GB"/>
              </w:rPr>
              <w:t xml:space="preserve">The purpose of the processing is to protect the child or vulnerable adult. </w:t>
            </w:r>
          </w:p>
        </w:tc>
      </w:tr>
      <w:tr w:rsidR="00F75E28" w:rsidRPr="003225D6" w14:paraId="7B2E9581" w14:textId="77777777" w:rsidTr="00F75E28">
        <w:trPr>
          <w:trHeight w:val="622"/>
        </w:trPr>
        <w:tc>
          <w:tcPr>
            <w:tcW w:w="3064" w:type="dxa"/>
            <w:noWrap/>
          </w:tcPr>
          <w:p w14:paraId="7B2E9577" w14:textId="77777777" w:rsidR="00F75E28" w:rsidRPr="00FD06BF" w:rsidRDefault="00F75E28" w:rsidP="00FD06BF">
            <w:pPr>
              <w:spacing w:after="0" w:line="240" w:lineRule="auto"/>
              <w:jc w:val="both"/>
              <w:rPr>
                <w:rFonts w:ascii="Arial" w:hAnsi="Arial" w:cs="Arial"/>
                <w:color w:val="000000"/>
                <w:sz w:val="24"/>
                <w:szCs w:val="24"/>
                <w:lang w:eastAsia="en-GB"/>
              </w:rPr>
            </w:pPr>
            <w:r w:rsidRPr="00FD06BF">
              <w:rPr>
                <w:rFonts w:ascii="Arial" w:hAnsi="Arial" w:cs="Arial"/>
                <w:color w:val="000000"/>
                <w:sz w:val="24"/>
                <w:szCs w:val="24"/>
                <w:lang w:eastAsia="en-GB"/>
              </w:rPr>
              <w:t xml:space="preserve">4) </w:t>
            </w:r>
            <w:r w:rsidRPr="00FD06BF">
              <w:rPr>
                <w:rFonts w:ascii="Arial" w:hAnsi="Arial" w:cs="Arial"/>
                <w:b/>
                <w:color w:val="000000"/>
                <w:sz w:val="24"/>
                <w:szCs w:val="24"/>
                <w:lang w:eastAsia="en-GB"/>
              </w:rPr>
              <w:t>Lawful basis</w:t>
            </w:r>
            <w:r w:rsidRPr="00FD06BF">
              <w:rPr>
                <w:rFonts w:ascii="Arial" w:hAnsi="Arial" w:cs="Arial"/>
                <w:color w:val="000000"/>
                <w:sz w:val="24"/>
                <w:szCs w:val="24"/>
                <w:lang w:eastAsia="en-GB"/>
              </w:rPr>
              <w:t xml:space="preserve"> for processing</w:t>
            </w:r>
          </w:p>
        </w:tc>
        <w:tc>
          <w:tcPr>
            <w:tcW w:w="8135" w:type="dxa"/>
            <w:noWrap/>
          </w:tcPr>
          <w:p w14:paraId="7B2E9578" w14:textId="77777777" w:rsidR="00F75E28" w:rsidRPr="00FD06BF" w:rsidRDefault="00F75E28" w:rsidP="00FD06BF">
            <w:pPr>
              <w:jc w:val="both"/>
              <w:rPr>
                <w:rFonts w:ascii="Arial" w:eastAsia="Calibri" w:hAnsi="Arial" w:cs="Arial"/>
                <w:color w:val="000000"/>
                <w:sz w:val="24"/>
                <w:szCs w:val="24"/>
                <w:lang w:eastAsia="en-GB"/>
              </w:rPr>
            </w:pPr>
            <w:r w:rsidRPr="00FD06BF">
              <w:rPr>
                <w:rFonts w:ascii="Arial" w:hAnsi="Arial" w:cs="Arial"/>
                <w:color w:val="000000"/>
                <w:sz w:val="24"/>
                <w:szCs w:val="24"/>
                <w:lang w:eastAsia="en-GB"/>
              </w:rPr>
              <w:t>The sharing is a legal requirement to protect vulnerable children or adults, therefore f</w:t>
            </w:r>
            <w:r w:rsidRPr="00FD06BF">
              <w:rPr>
                <w:rFonts w:ascii="Arial" w:eastAsia="Calibri" w:hAnsi="Arial" w:cs="Arial"/>
                <w:color w:val="000000"/>
                <w:sz w:val="24"/>
                <w:szCs w:val="24"/>
                <w:lang w:eastAsia="en-GB"/>
              </w:rPr>
              <w:t xml:space="preserve">or the purposes of safeguarding children and vulnerable adults, the following Article 6 and 9 conditions apply: </w:t>
            </w:r>
          </w:p>
          <w:p w14:paraId="7B2E9579" w14:textId="77777777" w:rsidR="00F75E28" w:rsidRPr="00FD06BF" w:rsidRDefault="00F75E28" w:rsidP="00FD06BF">
            <w:pPr>
              <w:jc w:val="both"/>
              <w:rPr>
                <w:rFonts w:ascii="Arial" w:eastAsia="Calibri" w:hAnsi="Arial" w:cs="Arial"/>
                <w:color w:val="000000"/>
                <w:sz w:val="24"/>
                <w:szCs w:val="24"/>
                <w:lang w:eastAsia="en-GB"/>
              </w:rPr>
            </w:pPr>
            <w:r w:rsidRPr="00FD06BF">
              <w:rPr>
                <w:rFonts w:ascii="Arial" w:eastAsia="Calibri" w:hAnsi="Arial" w:cs="Arial"/>
                <w:color w:val="000000"/>
                <w:sz w:val="24"/>
                <w:szCs w:val="24"/>
                <w:lang w:eastAsia="en-GB"/>
              </w:rPr>
              <w:t>For consented processing;</w:t>
            </w:r>
          </w:p>
          <w:p w14:paraId="7B2E957A" w14:textId="77777777" w:rsidR="00F75E28" w:rsidRPr="00FD06BF" w:rsidRDefault="00F75E28" w:rsidP="00FD06BF">
            <w:pPr>
              <w:jc w:val="both"/>
              <w:rPr>
                <w:rFonts w:ascii="Arial" w:eastAsia="Calibri" w:hAnsi="Arial" w:cs="Arial"/>
                <w:color w:val="000000"/>
                <w:sz w:val="24"/>
                <w:szCs w:val="24"/>
                <w:lang w:eastAsia="en-GB"/>
              </w:rPr>
            </w:pPr>
            <w:r w:rsidRPr="00FD06BF">
              <w:rPr>
                <w:rFonts w:ascii="Arial" w:hAnsi="Arial" w:cs="Arial"/>
                <w:color w:val="000000"/>
                <w:sz w:val="24"/>
                <w:szCs w:val="24"/>
                <w:lang w:eastAsia="en-GB"/>
              </w:rPr>
              <w:t>6(1)(a) the data subject has given consent to the processing of his or her personal data for one or more specific purposes</w:t>
            </w:r>
          </w:p>
          <w:p w14:paraId="7B2E957B" w14:textId="77777777" w:rsidR="00F75E28" w:rsidRPr="00FD06BF" w:rsidRDefault="00F75E28" w:rsidP="00FD06BF">
            <w:pPr>
              <w:jc w:val="both"/>
              <w:rPr>
                <w:rFonts w:ascii="Arial" w:eastAsia="Calibri" w:hAnsi="Arial" w:cs="Arial"/>
                <w:color w:val="000000"/>
                <w:sz w:val="24"/>
                <w:szCs w:val="24"/>
                <w:lang w:eastAsia="en-GB"/>
              </w:rPr>
            </w:pPr>
            <w:r w:rsidRPr="00FD06BF">
              <w:rPr>
                <w:rFonts w:ascii="Arial" w:eastAsia="Calibri" w:hAnsi="Arial" w:cs="Arial"/>
                <w:color w:val="000000"/>
                <w:sz w:val="24"/>
                <w:szCs w:val="24"/>
                <w:lang w:eastAsia="en-GB"/>
              </w:rPr>
              <w:t>For unconsented processing;</w:t>
            </w:r>
          </w:p>
          <w:p w14:paraId="7B2E957C" w14:textId="77777777" w:rsidR="00F75E28" w:rsidRPr="00FD06BF" w:rsidRDefault="00F75E28" w:rsidP="00FD06BF">
            <w:pPr>
              <w:jc w:val="both"/>
              <w:rPr>
                <w:rFonts w:ascii="Arial" w:eastAsia="Calibri" w:hAnsi="Arial" w:cs="Arial"/>
                <w:bCs/>
                <w:color w:val="000000"/>
                <w:sz w:val="24"/>
                <w:szCs w:val="24"/>
                <w:lang w:eastAsia="en-GB"/>
              </w:rPr>
            </w:pPr>
            <w:r w:rsidRPr="00FD06BF">
              <w:rPr>
                <w:rFonts w:ascii="Arial" w:eastAsia="Calibri" w:hAnsi="Arial" w:cs="Arial"/>
                <w:bCs/>
                <w:color w:val="000000"/>
                <w:sz w:val="24"/>
                <w:szCs w:val="24"/>
                <w:lang w:eastAsia="en-GB"/>
              </w:rPr>
              <w:t xml:space="preserve">6(1)(c) </w:t>
            </w:r>
            <w:r w:rsidRPr="00FD06BF">
              <w:rPr>
                <w:rFonts w:ascii="Arial" w:hAnsi="Arial" w:cs="Arial"/>
                <w:color w:val="000000"/>
                <w:sz w:val="24"/>
                <w:szCs w:val="24"/>
                <w:lang w:eastAsia="en-GB"/>
              </w:rPr>
              <w:t>processing is necessary for compliance with a legal obligation to which the controller is subject</w:t>
            </w:r>
            <w:r w:rsidRPr="00FD06BF">
              <w:rPr>
                <w:rFonts w:ascii="Arial" w:eastAsia="Calibri" w:hAnsi="Arial" w:cs="Arial"/>
                <w:bCs/>
                <w:color w:val="000000"/>
                <w:sz w:val="24"/>
                <w:szCs w:val="24"/>
                <w:lang w:eastAsia="en-GB"/>
              </w:rPr>
              <w:t xml:space="preserve"> </w:t>
            </w:r>
          </w:p>
          <w:p w14:paraId="7B2E957D" w14:textId="77777777" w:rsidR="00F75E28" w:rsidRPr="00FD06BF" w:rsidRDefault="00F75E28" w:rsidP="00FD06BF">
            <w:pPr>
              <w:autoSpaceDE w:val="0"/>
              <w:autoSpaceDN w:val="0"/>
              <w:adjustRightInd w:val="0"/>
              <w:spacing w:after="240" w:line="360" w:lineRule="atLeast"/>
              <w:jc w:val="both"/>
              <w:rPr>
                <w:rFonts w:ascii="Arial" w:eastAsia="Calibri" w:hAnsi="Arial" w:cs="Arial"/>
                <w:color w:val="000000"/>
                <w:sz w:val="24"/>
                <w:szCs w:val="24"/>
                <w:lang w:eastAsia="en-GB"/>
              </w:rPr>
            </w:pPr>
            <w:r w:rsidRPr="00FD06BF">
              <w:rPr>
                <w:rFonts w:ascii="Arial" w:eastAsia="Calibri" w:hAnsi="Arial" w:cs="Arial"/>
                <w:color w:val="000000"/>
                <w:sz w:val="24"/>
                <w:szCs w:val="24"/>
                <w:lang w:eastAsia="en-GB"/>
              </w:rPr>
              <w:t xml:space="preserve">and: </w:t>
            </w:r>
          </w:p>
          <w:p w14:paraId="7B2E957E" w14:textId="77777777" w:rsidR="00F75E28" w:rsidRPr="00FD06BF" w:rsidRDefault="00F75E28" w:rsidP="00FD06BF">
            <w:pPr>
              <w:jc w:val="both"/>
              <w:rPr>
                <w:rFonts w:ascii="Arial" w:eastAsia="Calibri" w:hAnsi="Arial" w:cs="Arial"/>
                <w:bCs/>
                <w:color w:val="000000"/>
                <w:sz w:val="24"/>
                <w:szCs w:val="24"/>
                <w:lang w:eastAsia="en-GB"/>
              </w:rPr>
            </w:pPr>
            <w:r w:rsidRPr="00FD06BF">
              <w:rPr>
                <w:rFonts w:ascii="Arial" w:eastAsia="Calibri" w:hAnsi="Arial" w:cs="Arial"/>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w:t>
            </w:r>
            <w:r w:rsidRPr="00FD06BF">
              <w:rPr>
                <w:rFonts w:ascii="Arial" w:eastAsia="Calibri" w:hAnsi="Arial" w:cs="Arial"/>
                <w:bCs/>
                <w:color w:val="000000"/>
                <w:sz w:val="24"/>
                <w:szCs w:val="24"/>
                <w:lang w:eastAsia="en-GB"/>
              </w:rPr>
              <w:lastRenderedPageBreak/>
              <w:t xml:space="preserve">Member State law..’ </w:t>
            </w:r>
          </w:p>
          <w:p w14:paraId="7B2E957F" w14:textId="77777777" w:rsidR="00F75E28" w:rsidRPr="00FD06BF" w:rsidRDefault="00F75E28" w:rsidP="00FD06BF">
            <w:pPr>
              <w:jc w:val="both"/>
              <w:rPr>
                <w:rFonts w:ascii="Arial" w:hAnsi="Arial" w:cs="Arial"/>
                <w:color w:val="000000"/>
                <w:sz w:val="24"/>
                <w:szCs w:val="24"/>
                <w:lang w:eastAsia="en-GB"/>
              </w:rPr>
            </w:pPr>
          </w:p>
          <w:p w14:paraId="7B2E9580" w14:textId="77777777" w:rsidR="00F75E28" w:rsidRPr="00FD06BF" w:rsidRDefault="00F75E28" w:rsidP="00FD06BF">
            <w:pPr>
              <w:jc w:val="both"/>
              <w:rPr>
                <w:rFonts w:ascii="Arial" w:hAnsi="Arial" w:cs="Arial"/>
                <w:color w:val="000000"/>
                <w:sz w:val="24"/>
                <w:szCs w:val="24"/>
                <w:lang w:eastAsia="en-GB"/>
              </w:rPr>
            </w:pPr>
            <w:r w:rsidRPr="00FD06BF">
              <w:rPr>
                <w:rFonts w:ascii="Arial" w:hAnsi="Arial" w:cs="Arial"/>
                <w:color w:val="000000"/>
                <w:sz w:val="24"/>
                <w:szCs w:val="24"/>
                <w:lang w:eastAsia="en-GB"/>
              </w:rPr>
              <w:t>We will consider your rights established under UK case law collectively known as the “Common Law Duty of Confidentiality”</w:t>
            </w:r>
            <w:r w:rsidRPr="00FD06BF">
              <w:rPr>
                <w:rFonts w:ascii="Arial" w:hAnsi="Arial" w:cs="Arial"/>
                <w:color w:val="000000"/>
                <w:sz w:val="24"/>
                <w:szCs w:val="24"/>
                <w:vertAlign w:val="superscript"/>
                <w:lang w:eastAsia="en-GB"/>
              </w:rPr>
              <w:t>*</w:t>
            </w:r>
          </w:p>
        </w:tc>
      </w:tr>
      <w:tr w:rsidR="00F75E28" w:rsidRPr="003225D6" w14:paraId="7B2E9588" w14:textId="77777777" w:rsidTr="00F75E28">
        <w:trPr>
          <w:trHeight w:val="300"/>
        </w:trPr>
        <w:tc>
          <w:tcPr>
            <w:tcW w:w="3064" w:type="dxa"/>
            <w:noWrap/>
          </w:tcPr>
          <w:p w14:paraId="7B2E9582" w14:textId="77777777" w:rsidR="00F75E28" w:rsidRPr="00FD06BF" w:rsidRDefault="00F75E28" w:rsidP="00E455E3">
            <w:pPr>
              <w:spacing w:after="0" w:line="240" w:lineRule="auto"/>
              <w:rPr>
                <w:rFonts w:ascii="Arial" w:hAnsi="Arial" w:cs="Arial"/>
                <w:color w:val="000000"/>
                <w:sz w:val="24"/>
                <w:szCs w:val="24"/>
                <w:lang w:eastAsia="en-GB"/>
              </w:rPr>
            </w:pPr>
            <w:r w:rsidRPr="00FD06BF">
              <w:rPr>
                <w:rFonts w:ascii="Arial" w:hAnsi="Arial" w:cs="Arial"/>
                <w:color w:val="000000"/>
                <w:sz w:val="24"/>
                <w:szCs w:val="24"/>
                <w:lang w:eastAsia="en-GB"/>
              </w:rPr>
              <w:lastRenderedPageBreak/>
              <w:t xml:space="preserve">5) </w:t>
            </w:r>
            <w:r w:rsidRPr="00FD06BF">
              <w:rPr>
                <w:rFonts w:ascii="Arial" w:hAnsi="Arial" w:cs="Arial"/>
                <w:b/>
                <w:color w:val="000000"/>
                <w:sz w:val="24"/>
                <w:szCs w:val="24"/>
                <w:lang w:eastAsia="en-GB"/>
              </w:rPr>
              <w:t xml:space="preserve">Recipient or categories of recipients </w:t>
            </w:r>
            <w:r w:rsidRPr="00FD06BF">
              <w:rPr>
                <w:rFonts w:ascii="Arial" w:hAnsi="Arial" w:cs="Arial"/>
                <w:color w:val="000000"/>
                <w:sz w:val="24"/>
                <w:szCs w:val="24"/>
                <w:lang w:eastAsia="en-GB"/>
              </w:rPr>
              <w:t>of the shared data</w:t>
            </w:r>
          </w:p>
        </w:tc>
        <w:tc>
          <w:tcPr>
            <w:tcW w:w="8135" w:type="dxa"/>
            <w:noWrap/>
          </w:tcPr>
          <w:p w14:paraId="7B2E9583" w14:textId="77777777" w:rsidR="00E73934" w:rsidRPr="00FD06BF" w:rsidRDefault="00F75E28" w:rsidP="00E73934">
            <w:pPr>
              <w:spacing w:after="0" w:line="240" w:lineRule="auto"/>
              <w:rPr>
                <w:rFonts w:ascii="Arial" w:hAnsi="Arial" w:cs="Arial"/>
                <w:color w:val="000000" w:themeColor="text1"/>
                <w:sz w:val="24"/>
                <w:szCs w:val="24"/>
                <w:lang w:eastAsia="en-GB"/>
              </w:rPr>
            </w:pPr>
            <w:r w:rsidRPr="00FD06BF">
              <w:rPr>
                <w:rFonts w:ascii="Arial" w:hAnsi="Arial" w:cs="Arial"/>
                <w:color w:val="000000" w:themeColor="text1"/>
                <w:sz w:val="24"/>
                <w:szCs w:val="24"/>
                <w:lang w:eastAsia="en-GB"/>
              </w:rPr>
              <w:t xml:space="preserve">The data will be shared with </w:t>
            </w:r>
            <w:r w:rsidR="00E73934" w:rsidRPr="00FD06BF">
              <w:rPr>
                <w:rFonts w:ascii="Arial" w:hAnsi="Arial" w:cs="Arial"/>
                <w:color w:val="000000" w:themeColor="text1"/>
                <w:sz w:val="24"/>
                <w:szCs w:val="24"/>
                <w:lang w:eastAsia="en-GB"/>
              </w:rPr>
              <w:t xml:space="preserve">; Croydon Social Services </w:t>
            </w:r>
          </w:p>
          <w:p w14:paraId="7B2E9584" w14:textId="77777777" w:rsidR="00E73934" w:rsidRPr="00FD06BF" w:rsidRDefault="00E73934" w:rsidP="00E73934">
            <w:pPr>
              <w:spacing w:after="0" w:line="240" w:lineRule="auto"/>
              <w:rPr>
                <w:rFonts w:ascii="Arial" w:hAnsi="Arial" w:cs="Arial"/>
                <w:color w:val="000000" w:themeColor="text1"/>
                <w:sz w:val="24"/>
                <w:szCs w:val="24"/>
                <w:lang w:eastAsia="en-GB"/>
              </w:rPr>
            </w:pPr>
            <w:r w:rsidRPr="00FD06BF">
              <w:rPr>
                <w:rFonts w:ascii="Arial" w:hAnsi="Arial" w:cs="Arial"/>
                <w:color w:val="000000" w:themeColor="text1"/>
                <w:sz w:val="24"/>
                <w:szCs w:val="24"/>
                <w:lang w:eastAsia="en-GB"/>
              </w:rPr>
              <w:t>Address :Access Croydon, Bernard Weatherill House, 8 Mint Walk, Croydon , CR0 1EA</w:t>
            </w:r>
          </w:p>
          <w:p w14:paraId="7B2E9585" w14:textId="77777777" w:rsidR="00E73934" w:rsidRPr="00FD06BF" w:rsidRDefault="00E73934" w:rsidP="00E73934">
            <w:pPr>
              <w:numPr>
                <w:ilvl w:val="0"/>
                <w:numId w:val="2"/>
              </w:numPr>
              <w:shd w:val="clear" w:color="auto" w:fill="FFFFFF"/>
              <w:spacing w:after="0" w:line="240" w:lineRule="auto"/>
              <w:ind w:left="0"/>
              <w:textAlignment w:val="baseline"/>
              <w:rPr>
                <w:rFonts w:ascii="Arial" w:hAnsi="Arial" w:cs="Arial"/>
                <w:color w:val="000000" w:themeColor="text1"/>
                <w:sz w:val="24"/>
                <w:szCs w:val="24"/>
                <w:lang w:eastAsia="en-GB"/>
              </w:rPr>
            </w:pPr>
            <w:r w:rsidRPr="00FD06BF">
              <w:rPr>
                <w:rFonts w:ascii="Arial" w:hAnsi="Arial" w:cs="Arial"/>
                <w:color w:val="000000" w:themeColor="text1"/>
                <w:sz w:val="24"/>
                <w:szCs w:val="24"/>
                <w:lang w:eastAsia="en-GB"/>
              </w:rPr>
              <w:t>Contact Numbers: Social services - adult: </w:t>
            </w:r>
            <w:r w:rsidRPr="00FD06BF">
              <w:rPr>
                <w:rFonts w:ascii="Arial" w:hAnsi="Arial" w:cs="Arial"/>
                <w:b/>
                <w:bCs/>
                <w:color w:val="000000" w:themeColor="text1"/>
                <w:sz w:val="24"/>
                <w:szCs w:val="24"/>
                <w:bdr w:val="none" w:sz="0" w:space="0" w:color="auto" w:frame="1"/>
                <w:lang w:eastAsia="en-GB"/>
              </w:rPr>
              <w:t>020 8726 6500</w:t>
            </w:r>
            <w:r w:rsidRPr="00FD06BF">
              <w:rPr>
                <w:rFonts w:ascii="Arial" w:hAnsi="Arial" w:cs="Arial"/>
                <w:color w:val="000000" w:themeColor="text1"/>
                <w:sz w:val="24"/>
                <w:szCs w:val="24"/>
                <w:lang w:eastAsia="en-GB"/>
              </w:rPr>
              <w:t> (outside regular opening hours and in an emergency, ring </w:t>
            </w:r>
            <w:r w:rsidRPr="00FD06BF">
              <w:rPr>
                <w:rFonts w:ascii="Arial" w:hAnsi="Arial" w:cs="Arial"/>
                <w:b/>
                <w:bCs/>
                <w:color w:val="000000" w:themeColor="text1"/>
                <w:sz w:val="24"/>
                <w:szCs w:val="24"/>
                <w:bdr w:val="none" w:sz="0" w:space="0" w:color="auto" w:frame="1"/>
                <w:lang w:eastAsia="en-GB"/>
              </w:rPr>
              <w:t>020 8726 6000</w:t>
            </w:r>
            <w:r w:rsidRPr="00FD06BF">
              <w:rPr>
                <w:rFonts w:ascii="Arial" w:hAnsi="Arial" w:cs="Arial"/>
                <w:color w:val="000000" w:themeColor="text1"/>
                <w:sz w:val="24"/>
                <w:szCs w:val="24"/>
                <w:lang w:eastAsia="en-GB"/>
              </w:rPr>
              <w:t>. If necessary, you will be put in contact with the appropriate council emergency service.)</w:t>
            </w:r>
          </w:p>
          <w:p w14:paraId="7B2E9586" w14:textId="77777777" w:rsidR="00E73934" w:rsidRPr="00FD06BF" w:rsidRDefault="00E73934" w:rsidP="00E73934">
            <w:pPr>
              <w:numPr>
                <w:ilvl w:val="0"/>
                <w:numId w:val="2"/>
              </w:numPr>
              <w:shd w:val="clear" w:color="auto" w:fill="FFFFFF"/>
              <w:spacing w:after="0" w:line="240" w:lineRule="auto"/>
              <w:ind w:left="0"/>
              <w:textAlignment w:val="baseline"/>
              <w:rPr>
                <w:rFonts w:ascii="Arial" w:hAnsi="Arial" w:cs="Arial"/>
                <w:color w:val="000000" w:themeColor="text1"/>
                <w:sz w:val="24"/>
                <w:szCs w:val="24"/>
                <w:lang w:eastAsia="en-GB"/>
              </w:rPr>
            </w:pPr>
            <w:r w:rsidRPr="00FD06BF">
              <w:rPr>
                <w:rFonts w:ascii="Arial" w:hAnsi="Arial" w:cs="Arial"/>
                <w:color w:val="000000" w:themeColor="text1"/>
                <w:sz w:val="24"/>
                <w:szCs w:val="24"/>
                <w:lang w:eastAsia="en-GB"/>
              </w:rPr>
              <w:t>Social services - children: </w:t>
            </w:r>
            <w:r w:rsidRPr="00FD06BF">
              <w:rPr>
                <w:rFonts w:ascii="Arial" w:hAnsi="Arial" w:cs="Arial"/>
                <w:b/>
                <w:bCs/>
                <w:color w:val="000000" w:themeColor="text1"/>
                <w:sz w:val="24"/>
                <w:szCs w:val="24"/>
                <w:bdr w:val="none" w:sz="0" w:space="0" w:color="auto" w:frame="1"/>
                <w:lang w:eastAsia="en-GB"/>
              </w:rPr>
              <w:t>020 8726 6400</w:t>
            </w:r>
          </w:p>
          <w:p w14:paraId="7B2E9587" w14:textId="77777777" w:rsidR="00E73934" w:rsidRPr="00FD06BF" w:rsidRDefault="00E73934" w:rsidP="00E73934">
            <w:pPr>
              <w:spacing w:after="0" w:line="240" w:lineRule="auto"/>
              <w:rPr>
                <w:rFonts w:ascii="Arial" w:hAnsi="Arial" w:cs="Arial"/>
                <w:color w:val="000000"/>
                <w:sz w:val="24"/>
                <w:szCs w:val="24"/>
                <w:lang w:eastAsia="en-GB"/>
              </w:rPr>
            </w:pPr>
          </w:p>
        </w:tc>
      </w:tr>
      <w:tr w:rsidR="00F75E28" w:rsidRPr="003225D6" w14:paraId="7B2E958E" w14:textId="77777777" w:rsidTr="00F75E28">
        <w:trPr>
          <w:trHeight w:val="300"/>
        </w:trPr>
        <w:tc>
          <w:tcPr>
            <w:tcW w:w="3064" w:type="dxa"/>
            <w:noWrap/>
          </w:tcPr>
          <w:p w14:paraId="7B2E9589" w14:textId="77777777" w:rsidR="00F75E28" w:rsidRPr="003225D6" w:rsidRDefault="00F75E28" w:rsidP="00E455E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8135" w:type="dxa"/>
            <w:noWrap/>
          </w:tcPr>
          <w:p w14:paraId="7B2E958A" w14:textId="77777777" w:rsidR="00F75E28" w:rsidRPr="003225D6" w:rsidRDefault="00F75E28" w:rsidP="00E455E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This sharing is a legal and professional </w:t>
            </w:r>
            <w:r w:rsidR="00E73934" w:rsidRPr="003225D6">
              <w:rPr>
                <w:rFonts w:ascii="Times New Roman" w:hAnsi="Times New Roman"/>
                <w:color w:val="000000"/>
                <w:sz w:val="24"/>
                <w:szCs w:val="24"/>
                <w:lang w:eastAsia="en-GB"/>
              </w:rPr>
              <w:t>requirement</w:t>
            </w:r>
            <w:r w:rsidRPr="003225D6">
              <w:rPr>
                <w:rFonts w:ascii="Times New Roman" w:hAnsi="Times New Roman"/>
                <w:color w:val="000000"/>
                <w:sz w:val="24"/>
                <w:szCs w:val="24"/>
                <w:lang w:eastAsia="en-GB"/>
              </w:rPr>
              <w:t xml:space="preserve"> and therefore there is no right to object. </w:t>
            </w:r>
          </w:p>
          <w:p w14:paraId="7B2E958B" w14:textId="77777777" w:rsidR="00F75E28" w:rsidRPr="003225D6" w:rsidRDefault="00F75E28" w:rsidP="00E455E3">
            <w:pPr>
              <w:spacing w:after="0" w:line="240" w:lineRule="auto"/>
              <w:rPr>
                <w:rFonts w:ascii="Times New Roman" w:hAnsi="Times New Roman"/>
                <w:color w:val="000000"/>
                <w:sz w:val="24"/>
                <w:szCs w:val="24"/>
                <w:lang w:eastAsia="en-GB"/>
              </w:rPr>
            </w:pPr>
          </w:p>
          <w:p w14:paraId="7B2E958C" w14:textId="77777777" w:rsidR="00F75E28" w:rsidRPr="003225D6" w:rsidRDefault="00F75E28" w:rsidP="00E455E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14:paraId="7B2E958D" w14:textId="77777777" w:rsidR="00F75E28" w:rsidRPr="003225D6" w:rsidRDefault="00000000" w:rsidP="00E455E3">
            <w:pPr>
              <w:spacing w:after="0" w:line="240" w:lineRule="auto"/>
              <w:rPr>
                <w:rFonts w:ascii="Times New Roman" w:hAnsi="Times New Roman"/>
                <w:color w:val="000000"/>
                <w:sz w:val="24"/>
                <w:szCs w:val="24"/>
                <w:lang w:eastAsia="en-GB"/>
              </w:rPr>
            </w:pPr>
            <w:hyperlink r:id="rId11" w:history="1">
              <w:r w:rsidR="00F75E28" w:rsidRPr="003225D6">
                <w:rPr>
                  <w:rStyle w:val="Hyperlink"/>
                  <w:rFonts w:ascii="Times New Roman" w:hAnsi="Times New Roman"/>
                  <w:sz w:val="24"/>
                  <w:szCs w:val="24"/>
                  <w:lang w:eastAsia="en-GB"/>
                </w:rPr>
                <w:t>https://www.gmc-uk.org/guidance/ethical_guidance/children_guidance_56_63_child_protection.asp</w:t>
              </w:r>
            </w:hyperlink>
          </w:p>
        </w:tc>
      </w:tr>
      <w:tr w:rsidR="00F75E28" w:rsidRPr="003225D6" w14:paraId="7B2E9591" w14:textId="77777777" w:rsidTr="00F75E28">
        <w:trPr>
          <w:trHeight w:val="300"/>
        </w:trPr>
        <w:tc>
          <w:tcPr>
            <w:tcW w:w="3064" w:type="dxa"/>
            <w:noWrap/>
          </w:tcPr>
          <w:p w14:paraId="7B2E958F" w14:textId="77777777" w:rsidR="00F75E28" w:rsidRPr="003225D6" w:rsidRDefault="00F75E28" w:rsidP="00E455E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8135" w:type="dxa"/>
            <w:noWrap/>
          </w:tcPr>
          <w:p w14:paraId="7B2E9590" w14:textId="77777777" w:rsidR="00F75E28" w:rsidRPr="00FD06BF" w:rsidRDefault="00F75E28" w:rsidP="00E455E3">
            <w:pPr>
              <w:spacing w:after="0" w:line="240" w:lineRule="auto"/>
              <w:rPr>
                <w:rFonts w:ascii="Arial" w:hAnsi="Arial" w:cs="Arial"/>
                <w:color w:val="000000"/>
                <w:sz w:val="24"/>
                <w:szCs w:val="24"/>
                <w:lang w:eastAsia="en-GB"/>
              </w:rPr>
            </w:pPr>
            <w:r w:rsidRPr="00FD06BF">
              <w:rPr>
                <w:rFonts w:ascii="Arial" w:hAnsi="Arial" w:cs="Arial"/>
                <w:sz w:val="24"/>
                <w:szCs w:val="24"/>
                <w:lang w:eastAsia="en-GB"/>
              </w:rPr>
              <w:t xml:space="preserve">The DSs or </w:t>
            </w:r>
            <w:r w:rsidR="00E73934" w:rsidRPr="00FD06BF">
              <w:rPr>
                <w:rFonts w:ascii="Arial" w:hAnsi="Arial" w:cs="Arial"/>
                <w:sz w:val="24"/>
                <w:szCs w:val="24"/>
                <w:lang w:eastAsia="en-GB"/>
              </w:rPr>
              <w:t xml:space="preserve">legal representatives has </w:t>
            </w:r>
            <w:r w:rsidRPr="00FD06BF">
              <w:rPr>
                <w:rFonts w:ascii="Arial" w:hAnsi="Arial" w:cs="Arial"/>
                <w:sz w:val="24"/>
                <w:szCs w:val="24"/>
                <w:lang w:eastAsia="en-GB"/>
              </w:rPr>
              <w:t>the right to access the data that is being shared and have any inaccuracies corrected</w:t>
            </w:r>
            <w:r w:rsidRPr="00FD06BF">
              <w:rPr>
                <w:rFonts w:ascii="Arial" w:hAnsi="Arial" w:cs="Arial"/>
                <w:color w:val="000000"/>
                <w:sz w:val="24"/>
                <w:szCs w:val="24"/>
                <w:lang w:eastAsia="en-GB"/>
              </w:rPr>
              <w:t>. There is no right to have accurate medical records deleted except when ordered by a court of Law.</w:t>
            </w:r>
          </w:p>
        </w:tc>
      </w:tr>
      <w:tr w:rsidR="00F75E28" w:rsidRPr="003225D6" w14:paraId="7B2E9594" w14:textId="77777777" w:rsidTr="00F75E28">
        <w:trPr>
          <w:trHeight w:val="300"/>
        </w:trPr>
        <w:tc>
          <w:tcPr>
            <w:tcW w:w="3064" w:type="dxa"/>
            <w:noWrap/>
          </w:tcPr>
          <w:p w14:paraId="7B2E9592" w14:textId="77777777" w:rsidR="00F75E28" w:rsidRPr="003225D6" w:rsidRDefault="00F75E28" w:rsidP="00E455E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8135" w:type="dxa"/>
            <w:noWrap/>
          </w:tcPr>
          <w:p w14:paraId="7B2E9593" w14:textId="77777777" w:rsidR="00F75E28" w:rsidRPr="00FD06BF" w:rsidRDefault="00F75E28" w:rsidP="00E455E3">
            <w:pPr>
              <w:spacing w:after="0" w:line="240" w:lineRule="auto"/>
              <w:rPr>
                <w:rFonts w:ascii="Arial" w:hAnsi="Arial" w:cs="Arial"/>
                <w:color w:val="000000"/>
                <w:sz w:val="24"/>
                <w:szCs w:val="24"/>
                <w:lang w:eastAsia="en-GB"/>
              </w:rPr>
            </w:pPr>
            <w:r w:rsidRPr="00FD06BF">
              <w:rPr>
                <w:rFonts w:ascii="Arial" w:hAnsi="Arial" w:cs="Arial"/>
                <w:color w:val="000000"/>
                <w:sz w:val="24"/>
                <w:szCs w:val="24"/>
                <w:lang w:eastAsia="en-GB"/>
              </w:rPr>
              <w:t>The data will be retained for active use during any investigation and thereafter retained in an inactive stored form according to the law and national guidance</w:t>
            </w:r>
          </w:p>
        </w:tc>
      </w:tr>
      <w:tr w:rsidR="00F75E28" w:rsidRPr="003225D6" w14:paraId="7B2E959A" w14:textId="77777777" w:rsidTr="00F75E28">
        <w:trPr>
          <w:trHeight w:val="300"/>
        </w:trPr>
        <w:tc>
          <w:tcPr>
            <w:tcW w:w="3064" w:type="dxa"/>
            <w:noWrap/>
          </w:tcPr>
          <w:p w14:paraId="7B2E9595" w14:textId="77777777" w:rsidR="00F75E28" w:rsidRPr="003225D6" w:rsidRDefault="00F75E28" w:rsidP="00E455E3">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8135" w:type="dxa"/>
            <w:noWrap/>
          </w:tcPr>
          <w:p w14:paraId="7B2E9596" w14:textId="77777777" w:rsidR="00F75E28" w:rsidRPr="00FD06BF" w:rsidRDefault="00F75E28" w:rsidP="00E455E3">
            <w:pPr>
              <w:spacing w:after="0" w:line="240" w:lineRule="auto"/>
              <w:rPr>
                <w:rFonts w:ascii="Arial" w:hAnsi="Arial" w:cs="Arial"/>
                <w:color w:val="000000"/>
                <w:sz w:val="24"/>
                <w:szCs w:val="24"/>
                <w:lang w:eastAsia="en-GB"/>
              </w:rPr>
            </w:pPr>
            <w:r w:rsidRPr="00FD06BF">
              <w:rPr>
                <w:rFonts w:ascii="Arial" w:hAnsi="Arial" w:cs="Arial"/>
                <w:color w:val="000000"/>
                <w:sz w:val="24"/>
                <w:szCs w:val="24"/>
                <w:lang w:eastAsia="en-GB"/>
              </w:rPr>
              <w:t>You have the right to complain to the Information Commissioner’s Office, you can use this link</w:t>
            </w:r>
            <w:r w:rsidRPr="00FD06BF">
              <w:rPr>
                <w:rFonts w:ascii="Arial" w:hAnsi="Arial" w:cs="Arial"/>
                <w:sz w:val="24"/>
                <w:szCs w:val="24"/>
              </w:rPr>
              <w:t xml:space="preserve"> </w:t>
            </w:r>
            <w:hyperlink r:id="rId12" w:history="1">
              <w:r w:rsidRPr="00FD06BF">
                <w:rPr>
                  <w:rStyle w:val="Hyperlink"/>
                  <w:rFonts w:ascii="Arial" w:hAnsi="Arial" w:cs="Arial"/>
                  <w:sz w:val="24"/>
                  <w:szCs w:val="24"/>
                  <w:lang w:eastAsia="en-GB"/>
                </w:rPr>
                <w:t>https://ico.org.uk/global/contact-us/</w:t>
              </w:r>
            </w:hyperlink>
            <w:r w:rsidRPr="00FD06BF">
              <w:rPr>
                <w:rFonts w:ascii="Arial" w:hAnsi="Arial" w:cs="Arial"/>
                <w:color w:val="000000"/>
                <w:sz w:val="24"/>
                <w:szCs w:val="24"/>
                <w:lang w:eastAsia="en-GB"/>
              </w:rPr>
              <w:t xml:space="preserve">  </w:t>
            </w:r>
          </w:p>
          <w:p w14:paraId="7B2E9597" w14:textId="77777777" w:rsidR="00F75E28" w:rsidRPr="00FD06BF" w:rsidRDefault="00F75E28" w:rsidP="00E455E3">
            <w:pPr>
              <w:spacing w:after="0" w:line="240" w:lineRule="auto"/>
              <w:rPr>
                <w:rFonts w:ascii="Arial" w:hAnsi="Arial" w:cs="Arial"/>
                <w:color w:val="000000"/>
                <w:sz w:val="24"/>
                <w:szCs w:val="24"/>
                <w:lang w:eastAsia="en-GB"/>
              </w:rPr>
            </w:pPr>
          </w:p>
          <w:p w14:paraId="7B2E9598" w14:textId="77777777" w:rsidR="00F75E28" w:rsidRPr="00FD06BF" w:rsidRDefault="00F75E28" w:rsidP="00E455E3">
            <w:pPr>
              <w:shd w:val="clear" w:color="auto" w:fill="FFFFFF"/>
              <w:spacing w:after="240" w:line="240" w:lineRule="auto"/>
              <w:rPr>
                <w:rFonts w:ascii="Arial" w:hAnsi="Arial" w:cs="Arial"/>
                <w:color w:val="000000"/>
                <w:sz w:val="24"/>
                <w:szCs w:val="24"/>
                <w:lang w:eastAsia="en-GB"/>
              </w:rPr>
            </w:pPr>
            <w:r w:rsidRPr="00FD06BF">
              <w:rPr>
                <w:rFonts w:ascii="Arial" w:hAnsi="Arial" w:cs="Arial"/>
                <w:color w:val="000000"/>
                <w:sz w:val="24"/>
                <w:szCs w:val="24"/>
                <w:lang w:eastAsia="en-GB"/>
              </w:rPr>
              <w:t xml:space="preserve">or calling their helpline Tel: 0303 123 1113 (local rate) or 01625 545 745 (national rate) </w:t>
            </w:r>
          </w:p>
          <w:p w14:paraId="7B2E9599" w14:textId="77777777" w:rsidR="00F75E28" w:rsidRPr="003225D6" w:rsidRDefault="00F75E28" w:rsidP="00E455E3">
            <w:pPr>
              <w:spacing w:after="0" w:line="240" w:lineRule="auto"/>
              <w:rPr>
                <w:rFonts w:ascii="Times New Roman" w:hAnsi="Times New Roman"/>
                <w:color w:val="000000"/>
                <w:sz w:val="24"/>
                <w:szCs w:val="24"/>
                <w:lang w:eastAsia="en-GB"/>
              </w:rPr>
            </w:pPr>
            <w:r w:rsidRPr="00FD06BF">
              <w:rPr>
                <w:rFonts w:ascii="Arial" w:hAnsi="Arial" w:cs="Arial"/>
                <w:color w:val="000000"/>
                <w:sz w:val="24"/>
                <w:szCs w:val="24"/>
                <w:lang w:eastAsia="en-GB"/>
              </w:rPr>
              <w:t>There are National Offices for Scotland, Northern Ireland and Wales, (see ICO website)</w:t>
            </w:r>
          </w:p>
        </w:tc>
      </w:tr>
    </w:tbl>
    <w:p w14:paraId="7B2E959B" w14:textId="77777777" w:rsidR="00F75E28" w:rsidRDefault="00F75E28" w:rsidP="00F75E28"/>
    <w:p w14:paraId="7B2E959C" w14:textId="77777777" w:rsidR="00F75E28" w:rsidRPr="00FD06BF" w:rsidRDefault="00F75E28" w:rsidP="00F75E28">
      <w:pPr>
        <w:rPr>
          <w:rFonts w:ascii="Arial" w:hAnsi="Arial" w:cs="Arial"/>
          <w:sz w:val="24"/>
          <w:szCs w:val="24"/>
        </w:rPr>
      </w:pPr>
      <w:r w:rsidRPr="00FD06BF">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7B2E959D" w14:textId="77777777" w:rsidR="00F75E28" w:rsidRPr="00FD06BF" w:rsidRDefault="00F75E28" w:rsidP="00F75E28">
      <w:pPr>
        <w:rPr>
          <w:rFonts w:ascii="Arial" w:hAnsi="Arial" w:cs="Arial"/>
          <w:sz w:val="24"/>
          <w:szCs w:val="24"/>
        </w:rPr>
      </w:pPr>
      <w:r w:rsidRPr="00FD06BF">
        <w:rPr>
          <w:rFonts w:ascii="Arial" w:hAnsi="Arial" w:cs="Arial"/>
          <w:sz w:val="24"/>
          <w:szCs w:val="24"/>
        </w:rPr>
        <w:t>The general position is that if information is given in circumstances where it is expected that a duty of confidence applies, that information cannot normally be disclosed without the information provider's consent.</w:t>
      </w:r>
    </w:p>
    <w:p w14:paraId="7B2E959E" w14:textId="77777777" w:rsidR="00F75E28" w:rsidRPr="00FD06BF" w:rsidRDefault="00F75E28" w:rsidP="00F75E28">
      <w:pPr>
        <w:rPr>
          <w:rFonts w:ascii="Arial" w:hAnsi="Arial" w:cs="Arial"/>
          <w:sz w:val="24"/>
          <w:szCs w:val="24"/>
        </w:rPr>
      </w:pPr>
      <w:r w:rsidRPr="00FD06BF">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B2E959F" w14:textId="77777777" w:rsidR="00F75E28" w:rsidRPr="00FD06BF" w:rsidRDefault="00F75E28" w:rsidP="00F75E28">
      <w:pPr>
        <w:rPr>
          <w:rFonts w:ascii="Arial" w:hAnsi="Arial" w:cs="Arial"/>
          <w:sz w:val="24"/>
          <w:szCs w:val="24"/>
        </w:rPr>
      </w:pPr>
      <w:r w:rsidRPr="00FD06BF">
        <w:rPr>
          <w:rFonts w:ascii="Arial" w:hAnsi="Arial" w:cs="Arial"/>
          <w:sz w:val="24"/>
          <w:szCs w:val="24"/>
        </w:rPr>
        <w:lastRenderedPageBreak/>
        <w:t>Three circumstances making disclosure of confidential information lawful are:</w:t>
      </w:r>
    </w:p>
    <w:p w14:paraId="7B2E95A0" w14:textId="77777777" w:rsidR="00F75E28" w:rsidRPr="00FD06BF" w:rsidRDefault="00F75E28" w:rsidP="00F75E28">
      <w:pPr>
        <w:numPr>
          <w:ilvl w:val="0"/>
          <w:numId w:val="1"/>
        </w:numPr>
        <w:rPr>
          <w:rFonts w:ascii="Arial" w:hAnsi="Arial" w:cs="Arial"/>
          <w:sz w:val="24"/>
          <w:szCs w:val="24"/>
        </w:rPr>
      </w:pPr>
      <w:r w:rsidRPr="00FD06BF">
        <w:rPr>
          <w:rFonts w:ascii="Arial" w:hAnsi="Arial" w:cs="Arial"/>
          <w:sz w:val="24"/>
          <w:szCs w:val="24"/>
        </w:rPr>
        <w:t>where the individual to whom the information relates has consented;</w:t>
      </w:r>
      <w:r w:rsidR="00FD06BF">
        <w:rPr>
          <w:rFonts w:ascii="Arial" w:hAnsi="Arial" w:cs="Arial"/>
          <w:sz w:val="24"/>
          <w:szCs w:val="24"/>
        </w:rPr>
        <w:br/>
      </w:r>
    </w:p>
    <w:p w14:paraId="7B2E95A1" w14:textId="77777777" w:rsidR="00F75E28" w:rsidRPr="00FD06BF" w:rsidRDefault="00F75E28" w:rsidP="00F75E28">
      <w:pPr>
        <w:numPr>
          <w:ilvl w:val="0"/>
          <w:numId w:val="1"/>
        </w:numPr>
        <w:rPr>
          <w:rFonts w:ascii="Arial" w:hAnsi="Arial" w:cs="Arial"/>
          <w:sz w:val="24"/>
          <w:szCs w:val="24"/>
        </w:rPr>
      </w:pPr>
      <w:r w:rsidRPr="00FD06BF">
        <w:rPr>
          <w:rFonts w:ascii="Arial" w:hAnsi="Arial" w:cs="Arial"/>
          <w:sz w:val="24"/>
          <w:szCs w:val="24"/>
        </w:rPr>
        <w:t>where disclosure is in the public interest; and</w:t>
      </w:r>
    </w:p>
    <w:p w14:paraId="7B2E95A2" w14:textId="77777777" w:rsidR="00F75E28" w:rsidRPr="00FD06BF" w:rsidRDefault="00F75E28" w:rsidP="00F75E28">
      <w:pPr>
        <w:numPr>
          <w:ilvl w:val="0"/>
          <w:numId w:val="1"/>
        </w:numPr>
        <w:rPr>
          <w:rFonts w:ascii="Arial" w:hAnsi="Arial" w:cs="Arial"/>
          <w:sz w:val="24"/>
          <w:szCs w:val="24"/>
        </w:rPr>
      </w:pPr>
      <w:r w:rsidRPr="00FD06BF">
        <w:rPr>
          <w:rFonts w:ascii="Arial" w:hAnsi="Arial" w:cs="Arial"/>
          <w:sz w:val="24"/>
          <w:szCs w:val="24"/>
        </w:rPr>
        <w:t>where there is a legal duty to do so, for example a court order.</w:t>
      </w:r>
    </w:p>
    <w:p w14:paraId="7B2E95A3" w14:textId="77777777" w:rsidR="00F75E28" w:rsidRPr="003902E4" w:rsidRDefault="00F75E28" w:rsidP="00F75E28"/>
    <w:p w14:paraId="7B2E95A4" w14:textId="77777777" w:rsidR="009269A6" w:rsidRDefault="009269A6"/>
    <w:sectPr w:rsidR="009269A6" w:rsidSect="00A4438D">
      <w:headerReference w:type="default" r:id="rId13"/>
      <w:footerReference w:type="default" r:id="rId14"/>
      <w:pgSz w:w="11906" w:h="16838"/>
      <w:pgMar w:top="993"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6A41" w14:textId="77777777" w:rsidR="00A4438D" w:rsidRDefault="00A4438D" w:rsidP="00F75E28">
      <w:pPr>
        <w:spacing w:after="0" w:line="240" w:lineRule="auto"/>
      </w:pPr>
      <w:r>
        <w:separator/>
      </w:r>
    </w:p>
  </w:endnote>
  <w:endnote w:type="continuationSeparator" w:id="0">
    <w:p w14:paraId="0AA6918A" w14:textId="77777777" w:rsidR="00A4438D" w:rsidRDefault="00A4438D" w:rsidP="00F75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95AB" w14:textId="35BF0418" w:rsidR="00301FE2" w:rsidRDefault="00301FE2" w:rsidP="004A105F">
    <w:pPr>
      <w:pStyle w:val="Footer"/>
      <w:jc w:val="right"/>
      <w:rPr>
        <w:rFonts w:ascii="Arial" w:hAnsi="Arial" w:cs="Arial"/>
        <w:sz w:val="16"/>
        <w:szCs w:val="16"/>
      </w:rPr>
    </w:pPr>
    <w:r w:rsidRPr="00301FE2">
      <w:rPr>
        <w:rFonts w:ascii="Arial" w:hAnsi="Arial" w:cs="Arial"/>
        <w:sz w:val="16"/>
        <w:szCs w:val="16"/>
      </w:rPr>
      <w:fldChar w:fldCharType="begin"/>
    </w:r>
    <w:r w:rsidRPr="00301FE2">
      <w:rPr>
        <w:rFonts w:ascii="Arial" w:hAnsi="Arial" w:cs="Arial"/>
        <w:sz w:val="16"/>
        <w:szCs w:val="16"/>
      </w:rPr>
      <w:instrText xml:space="preserve"> DATE \@ "dddd, dd MMMM yyyy" </w:instrText>
    </w:r>
    <w:r w:rsidRPr="00301FE2">
      <w:rPr>
        <w:rFonts w:ascii="Arial" w:hAnsi="Arial" w:cs="Arial"/>
        <w:sz w:val="16"/>
        <w:szCs w:val="16"/>
      </w:rPr>
      <w:fldChar w:fldCharType="separate"/>
    </w:r>
    <w:r w:rsidR="00FA1272">
      <w:rPr>
        <w:rFonts w:ascii="Arial" w:hAnsi="Arial" w:cs="Arial"/>
        <w:noProof/>
        <w:sz w:val="16"/>
        <w:szCs w:val="16"/>
      </w:rPr>
      <w:t>Tuesday, 20 February 2024</w:t>
    </w:r>
    <w:r w:rsidRPr="00301FE2">
      <w:rPr>
        <w:rFonts w:ascii="Arial" w:hAnsi="Arial" w:cs="Arial"/>
        <w:sz w:val="16"/>
        <w:szCs w:val="16"/>
      </w:rPr>
      <w:fldChar w:fldCharType="end"/>
    </w:r>
    <w:r w:rsidRPr="00301FE2">
      <w:rPr>
        <w:rFonts w:ascii="Arial" w:hAnsi="Arial" w:cs="Arial"/>
        <w:sz w:val="16"/>
        <w:szCs w:val="16"/>
      </w:rPr>
      <w:br/>
    </w:r>
    <w:r w:rsidRPr="00301FE2">
      <w:rPr>
        <w:rFonts w:ascii="Arial" w:hAnsi="Arial" w:cs="Arial"/>
        <w:sz w:val="16"/>
        <w:szCs w:val="16"/>
      </w:rPr>
      <w:fldChar w:fldCharType="begin"/>
    </w:r>
    <w:r w:rsidRPr="00301FE2">
      <w:rPr>
        <w:rFonts w:ascii="Arial" w:hAnsi="Arial" w:cs="Arial"/>
        <w:sz w:val="16"/>
        <w:szCs w:val="16"/>
      </w:rPr>
      <w:instrText xml:space="preserve"> FILENAME  \p  \* MERGEFORMAT </w:instrText>
    </w:r>
    <w:r w:rsidRPr="00301FE2">
      <w:rPr>
        <w:rFonts w:ascii="Arial" w:hAnsi="Arial" w:cs="Arial"/>
        <w:sz w:val="16"/>
        <w:szCs w:val="16"/>
      </w:rPr>
      <w:fldChar w:fldCharType="separate"/>
    </w:r>
    <w:r w:rsidRPr="00301FE2">
      <w:rPr>
        <w:rFonts w:ascii="Arial" w:hAnsi="Arial" w:cs="Arial"/>
        <w:noProof/>
        <w:sz w:val="16"/>
        <w:szCs w:val="16"/>
      </w:rPr>
      <w:t>Y:\tracy\Data Protection\GDPR\Privacy Notice-Safeguarding.docx</w:t>
    </w:r>
    <w:r w:rsidRPr="00301FE2">
      <w:rPr>
        <w:rFonts w:ascii="Arial" w:hAnsi="Arial" w:cs="Arial"/>
        <w:sz w:val="16"/>
        <w:szCs w:val="16"/>
      </w:rPr>
      <w:fldChar w:fldCharType="end"/>
    </w:r>
  </w:p>
  <w:p w14:paraId="0A06F82B" w14:textId="77C0F6B3" w:rsidR="004A105F" w:rsidRPr="00301FE2" w:rsidRDefault="004A105F" w:rsidP="004A105F">
    <w:pPr>
      <w:pStyle w:val="Footer"/>
      <w:jc w:val="right"/>
      <w:rPr>
        <w:rFonts w:ascii="Arial" w:hAnsi="Arial" w:cs="Arial"/>
        <w:sz w:val="16"/>
        <w:szCs w:val="16"/>
      </w:rPr>
    </w:pPr>
    <w:r>
      <w:rPr>
        <w:rFonts w:ascii="Arial" w:hAnsi="Arial" w:cs="Arial"/>
        <w:sz w:val="16"/>
        <w:szCs w:val="16"/>
      </w:rPr>
      <w:t>Reviewed February 2024</w:t>
    </w:r>
  </w:p>
  <w:p w14:paraId="7B2E95AC" w14:textId="77777777" w:rsidR="00301FE2" w:rsidRDefault="00301F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FACE3" w14:textId="77777777" w:rsidR="00A4438D" w:rsidRDefault="00A4438D" w:rsidP="00F75E28">
      <w:pPr>
        <w:spacing w:after="0" w:line="240" w:lineRule="auto"/>
      </w:pPr>
      <w:r>
        <w:separator/>
      </w:r>
    </w:p>
  </w:footnote>
  <w:footnote w:type="continuationSeparator" w:id="0">
    <w:p w14:paraId="6008371C" w14:textId="77777777" w:rsidR="00A4438D" w:rsidRDefault="00A4438D" w:rsidP="00F75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95A9" w14:textId="77777777" w:rsidR="00F75E28" w:rsidRPr="00FD06BF" w:rsidRDefault="00FD06BF" w:rsidP="00FD06BF">
    <w:pPr>
      <w:tabs>
        <w:tab w:val="left" w:pos="1152"/>
      </w:tabs>
      <w:ind w:left="123"/>
      <w:jc w:val="center"/>
      <w:rPr>
        <w:rFonts w:ascii="Arial" w:hAnsi="Arial" w:cs="Arial"/>
        <w:b/>
        <w:noProof/>
        <w:sz w:val="36"/>
        <w:szCs w:val="36"/>
        <w:lang w:eastAsia="en-GB"/>
      </w:rPr>
    </w:pPr>
    <w:r w:rsidRPr="00FD06BF">
      <w:rPr>
        <w:rFonts w:ascii="Arial" w:hAnsi="Arial" w:cs="Arial"/>
        <w:b/>
        <w:sz w:val="40"/>
        <w:szCs w:val="40"/>
      </w:rPr>
      <w:t>The Farley Road Medical Practice</w:t>
    </w:r>
  </w:p>
  <w:p w14:paraId="7B2E95AA" w14:textId="77777777" w:rsidR="004A105F" w:rsidRPr="00FD06BF" w:rsidRDefault="00F75E28" w:rsidP="00F75E28">
    <w:pPr>
      <w:pStyle w:val="Header"/>
      <w:jc w:val="center"/>
      <w:rPr>
        <w:rFonts w:ascii="Arial" w:hAnsi="Arial" w:cs="Arial"/>
        <w:b/>
        <w:sz w:val="36"/>
        <w:szCs w:val="36"/>
      </w:rPr>
    </w:pPr>
    <w:r w:rsidRPr="00FD06BF">
      <w:rPr>
        <w:rFonts w:ascii="Arial" w:hAnsi="Arial" w:cs="Arial"/>
        <w:b/>
        <w:noProof/>
        <w:sz w:val="36"/>
        <w:szCs w:val="36"/>
        <w:lang w:eastAsia="en-GB"/>
      </w:rPr>
      <w:t>Privacy Notice - Safeguarding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0F71"/>
    <w:multiLevelType w:val="multilevel"/>
    <w:tmpl w:val="1388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11917182">
    <w:abstractNumId w:val="1"/>
  </w:num>
  <w:num w:numId="2" w16cid:durableId="1188985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E28"/>
    <w:rsid w:val="00301FE2"/>
    <w:rsid w:val="004A105F"/>
    <w:rsid w:val="009269A6"/>
    <w:rsid w:val="00A4438D"/>
    <w:rsid w:val="00A823DB"/>
    <w:rsid w:val="00E73934"/>
    <w:rsid w:val="00F202D0"/>
    <w:rsid w:val="00F75E28"/>
    <w:rsid w:val="00FA1272"/>
    <w:rsid w:val="00FD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2E955D"/>
  <w15:docId w15:val="{FC078A7D-9147-45DF-834F-A82A161E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E28"/>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5E28"/>
    <w:pPr>
      <w:tabs>
        <w:tab w:val="center" w:pos="4513"/>
        <w:tab w:val="right" w:pos="9026"/>
      </w:tabs>
      <w:spacing w:after="0" w:line="240" w:lineRule="auto"/>
    </w:pPr>
  </w:style>
  <w:style w:type="character" w:customStyle="1" w:styleId="HeaderChar">
    <w:name w:val="Header Char"/>
    <w:basedOn w:val="DefaultParagraphFont"/>
    <w:link w:val="Header"/>
    <w:rsid w:val="00F75E28"/>
    <w:rPr>
      <w:rFonts w:ascii="Calibri" w:hAnsi="Calibri"/>
      <w:sz w:val="22"/>
      <w:szCs w:val="22"/>
      <w:lang w:eastAsia="en-US"/>
    </w:rPr>
  </w:style>
  <w:style w:type="character" w:styleId="Hyperlink">
    <w:name w:val="Hyperlink"/>
    <w:rsid w:val="00F75E28"/>
    <w:rPr>
      <w:rFonts w:cs="Times New Roman"/>
      <w:color w:val="0000FF"/>
      <w:u w:val="single"/>
    </w:rPr>
  </w:style>
  <w:style w:type="paragraph" w:styleId="NormalWeb">
    <w:name w:val="Normal (Web)"/>
    <w:basedOn w:val="Normal"/>
    <w:uiPriority w:val="99"/>
    <w:rsid w:val="00F75E28"/>
    <w:pPr>
      <w:spacing w:before="100" w:beforeAutospacing="1" w:after="100" w:afterAutospacing="1" w:line="240" w:lineRule="auto"/>
    </w:pPr>
    <w:rPr>
      <w:rFonts w:ascii="Times New Roman" w:eastAsia="Calibri" w:hAnsi="Times New Roman"/>
      <w:sz w:val="24"/>
      <w:szCs w:val="24"/>
      <w:lang w:eastAsia="en-GB"/>
    </w:rPr>
  </w:style>
  <w:style w:type="paragraph" w:styleId="Footer">
    <w:name w:val="footer"/>
    <w:basedOn w:val="Normal"/>
    <w:link w:val="FooterChar"/>
    <w:uiPriority w:val="99"/>
    <w:rsid w:val="00F75E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5E28"/>
    <w:rPr>
      <w:rFonts w:ascii="Calibri" w:hAnsi="Calibri"/>
      <w:sz w:val="22"/>
      <w:szCs w:val="22"/>
      <w:lang w:eastAsia="en-US"/>
    </w:rPr>
  </w:style>
  <w:style w:type="paragraph" w:styleId="BalloonText">
    <w:name w:val="Balloon Text"/>
    <w:basedOn w:val="Normal"/>
    <w:link w:val="BalloonTextChar"/>
    <w:rsid w:val="00F75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5E28"/>
    <w:rPr>
      <w:rFonts w:ascii="Tahoma" w:hAnsi="Tahoma" w:cs="Tahoma"/>
      <w:sz w:val="16"/>
      <w:szCs w:val="16"/>
      <w:lang w:eastAsia="en-US"/>
    </w:rPr>
  </w:style>
  <w:style w:type="character" w:customStyle="1" w:styleId="apple-converted-space">
    <w:name w:val="apple-converted-space"/>
    <w:basedOn w:val="DefaultParagraphFont"/>
    <w:rsid w:val="00E73934"/>
  </w:style>
  <w:style w:type="character" w:styleId="Strong">
    <w:name w:val="Strong"/>
    <w:basedOn w:val="DefaultParagraphFont"/>
    <w:uiPriority w:val="22"/>
    <w:qFormat/>
    <w:rsid w:val="00E739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46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1998/29/section/2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lation.gov.uk/ukpga/1989/41/section/47"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guidance/ethical_guidance/children_guidance_56_63_child_protection.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lation.gov.uk/ukpga/1989/41/section/17" TargetMode="External"/><Relationship Id="rId4" Type="http://schemas.openxmlformats.org/officeDocument/2006/relationships/webSettings" Target="webSettings.xml"/><Relationship Id="rId9" Type="http://schemas.openxmlformats.org/officeDocument/2006/relationships/hyperlink" Target="http://www.legislation.gov.uk/ukpga/2014/23/section/45/enacte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7</cp:revision>
  <dcterms:created xsi:type="dcterms:W3CDTF">2018-05-24T14:27:00Z</dcterms:created>
  <dcterms:modified xsi:type="dcterms:W3CDTF">2024-02-20T12:57:00Z</dcterms:modified>
</cp:coreProperties>
</file>